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2A3CBC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31 января 2019 № 32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950708">
        <w:rPr>
          <w:b/>
        </w:rPr>
        <w:t xml:space="preserve">11 марта 2019 </w:t>
      </w:r>
      <w:r w:rsidR="007D0B4C" w:rsidRPr="007D0B4C">
        <w:rPr>
          <w:b/>
        </w:rPr>
        <w:t xml:space="preserve">года в </w:t>
      </w:r>
      <w:r w:rsidR="00950708">
        <w:rPr>
          <w:b/>
        </w:rPr>
        <w:t>10 часов 30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950708">
        <w:t>31 января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950708">
        <w:t>32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950708">
            <w:pPr>
              <w:jc w:val="both"/>
            </w:pPr>
            <w:r w:rsidRPr="00E32C0E">
              <w:t>38:08:</w:t>
            </w:r>
            <w:r w:rsidR="00950708">
              <w:t>101402:14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477AF1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950708">
              <w:t>ведения личного подсобного хозяйства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950708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50708">
              <w:rPr>
                <w:bCs/>
                <w:sz w:val="22"/>
                <w:szCs w:val="22"/>
              </w:rPr>
              <w:t xml:space="preserve">д. Шишкина, ул. </w:t>
            </w:r>
            <w:proofErr w:type="spellStart"/>
            <w:r w:rsidR="00950708">
              <w:rPr>
                <w:bCs/>
                <w:sz w:val="22"/>
                <w:szCs w:val="22"/>
              </w:rPr>
              <w:t>Ионова</w:t>
            </w:r>
            <w:proofErr w:type="spellEnd"/>
            <w:r w:rsidR="00950708">
              <w:rPr>
                <w:bCs/>
                <w:sz w:val="22"/>
                <w:szCs w:val="22"/>
              </w:rPr>
              <w:t>, 2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5A211D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6D4D0A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>На земельном участке расположен выявленный объект культурного наследия</w:t>
            </w:r>
            <w:proofErr w:type="gramStart"/>
            <w:r w:rsidR="005A211D">
              <w:rPr>
                <w:color w:val="000000"/>
              </w:rPr>
              <w:t>.</w:t>
            </w:r>
            <w:proofErr w:type="gramEnd"/>
            <w:r w:rsidR="005A211D">
              <w:rPr>
                <w:rFonts w:ascii="Helvetica" w:hAnsi="Helvetica" w:cs="Helvetica"/>
                <w:color w:val="1D4A66"/>
                <w:sz w:val="21"/>
                <w:szCs w:val="21"/>
              </w:rPr>
              <w:t xml:space="preserve"> </w:t>
            </w:r>
            <w:proofErr w:type="gramStart"/>
            <w:r w:rsidR="003151E1" w:rsidRPr="003151E1">
              <w:rPr>
                <w:sz w:val="21"/>
                <w:szCs w:val="21"/>
              </w:rPr>
              <w:t>На основании охранного обязательства собственника культурного наследия № 112</w:t>
            </w:r>
            <w:r w:rsidR="003151E1">
              <w:rPr>
                <w:sz w:val="21"/>
                <w:szCs w:val="21"/>
              </w:rPr>
              <w:t>-</w:t>
            </w:r>
            <w:r w:rsidR="003151E1" w:rsidRPr="003151E1">
              <w:rPr>
                <w:sz w:val="21"/>
                <w:szCs w:val="21"/>
              </w:rPr>
              <w:t>спр от 01.11.2016 г.</w:t>
            </w:r>
            <w:r w:rsidR="007D629F">
              <w:rPr>
                <w:sz w:val="21"/>
                <w:szCs w:val="21"/>
              </w:rPr>
              <w:t xml:space="preserve"> </w:t>
            </w:r>
            <w:r w:rsidR="003151E1">
              <w:rPr>
                <w:sz w:val="21"/>
                <w:szCs w:val="21"/>
              </w:rPr>
              <w:t>собственник выявленного объекта культурного наследия обязан: н</w:t>
            </w:r>
            <w:r w:rsidR="005A211D" w:rsidRPr="005A211D">
              <w:rPr>
                <w:sz w:val="21"/>
                <w:szCs w:val="21"/>
              </w:rPr>
              <w:t>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</w:t>
            </w:r>
            <w:r w:rsidR="005A211D">
              <w:rPr>
                <w:sz w:val="21"/>
                <w:szCs w:val="21"/>
              </w:rPr>
              <w:t xml:space="preserve">, </w:t>
            </w:r>
            <w:r w:rsidR="005A211D" w:rsidRPr="005A211D">
              <w:rPr>
                <w:sz w:val="21"/>
                <w:szCs w:val="21"/>
              </w:rPr>
              <w:t>в случае обнаружения при проведении работ на земельном участке в границах территории объекта культурного наследия, либо на земельном участке, в границах которого располагается объект</w:t>
            </w:r>
            <w:proofErr w:type="gramEnd"/>
            <w:r w:rsidR="005A211D" w:rsidRPr="005A211D">
              <w:rPr>
                <w:sz w:val="21"/>
                <w:szCs w:val="21"/>
              </w:rPr>
              <w:t xml:space="preserve"> культурного наследия, лица, указанные </w:t>
            </w:r>
            <w:r w:rsidR="005A211D" w:rsidRPr="005A211D">
              <w:rPr>
                <w:sz w:val="21"/>
                <w:szCs w:val="21"/>
              </w:rPr>
              <w:lastRenderedPageBreak/>
              <w:t>в п.11 ст.47.6 закона 73-ФЗ</w:t>
            </w:r>
            <w:r w:rsidR="005A211D">
              <w:rPr>
                <w:sz w:val="21"/>
                <w:szCs w:val="21"/>
              </w:rPr>
              <w:t xml:space="preserve"> </w:t>
            </w:r>
            <w:r w:rsidR="005A211D" w:rsidRPr="005A211D">
              <w:rPr>
                <w:sz w:val="21"/>
                <w:szCs w:val="21"/>
              </w:rPr>
              <w:t>осуществляют</w:t>
            </w:r>
            <w:r w:rsidR="005A211D">
              <w:rPr>
                <w:sz w:val="21"/>
                <w:szCs w:val="21"/>
              </w:rPr>
              <w:t xml:space="preserve"> </w:t>
            </w:r>
            <w:r w:rsidR="005A211D" w:rsidRPr="005A211D">
              <w:rPr>
                <w:sz w:val="21"/>
                <w:szCs w:val="21"/>
              </w:rPr>
              <w:t xml:space="preserve">действия, предусмотренные подпунктом 2 </w:t>
            </w:r>
            <w:r w:rsidR="005A211D">
              <w:rPr>
                <w:sz w:val="21"/>
                <w:szCs w:val="21"/>
              </w:rPr>
              <w:t xml:space="preserve">   </w:t>
            </w:r>
            <w:r w:rsidR="005A211D" w:rsidRPr="005A211D">
              <w:rPr>
                <w:sz w:val="21"/>
                <w:szCs w:val="21"/>
              </w:rPr>
              <w:t>пун</w:t>
            </w:r>
            <w:r w:rsidR="005A211D">
              <w:rPr>
                <w:sz w:val="21"/>
                <w:szCs w:val="21"/>
              </w:rPr>
              <w:t>кта 3 ст.47.</w:t>
            </w:r>
            <w:r w:rsidR="005A211D" w:rsidRPr="005A211D">
              <w:rPr>
                <w:sz w:val="21"/>
                <w:szCs w:val="21"/>
              </w:rPr>
              <w:t xml:space="preserve">2 </w:t>
            </w:r>
            <w:r w:rsidR="003151E1">
              <w:rPr>
                <w:sz w:val="21"/>
                <w:szCs w:val="21"/>
              </w:rPr>
              <w:t>Федерального з</w:t>
            </w:r>
            <w:r w:rsidR="005A211D" w:rsidRPr="005A211D">
              <w:rPr>
                <w:sz w:val="21"/>
                <w:szCs w:val="21"/>
              </w:rPr>
              <w:t>акона</w:t>
            </w:r>
            <w:r w:rsidR="003151E1">
              <w:rPr>
                <w:sz w:val="21"/>
                <w:szCs w:val="21"/>
              </w:rPr>
              <w:t xml:space="preserve"> от 25.06.2002 г.</w:t>
            </w:r>
            <w:r w:rsidR="005A211D" w:rsidRPr="005A211D">
              <w:rPr>
                <w:sz w:val="21"/>
                <w:szCs w:val="21"/>
              </w:rPr>
              <w:t xml:space="preserve"> 73-ФЗ</w:t>
            </w:r>
            <w:r w:rsidR="003151E1">
              <w:rPr>
                <w:sz w:val="21"/>
                <w:szCs w:val="21"/>
              </w:rPr>
              <w:t xml:space="preserve"> «Об объектах культурного наследия (памятниках истории и культуры) народов Российской Федерации»</w:t>
            </w:r>
          </w:p>
        </w:tc>
      </w:tr>
      <w:tr w:rsidR="00056E4F" w:rsidRPr="00F13A4B" w:rsidTr="009511D7">
        <w:tc>
          <w:tcPr>
            <w:tcW w:w="5949" w:type="dxa"/>
          </w:tcPr>
          <w:p w:rsidR="00056E4F" w:rsidRPr="00477AF1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lastRenderedPageBreak/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1D5378" w:rsidP="009E3FB9">
            <w:r>
              <w:rPr>
                <w:b/>
              </w:rPr>
              <w:t>64440 (шестьдесят четыре тысячи четыреста сорок) рублей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1D5378" w:rsidP="001D5378">
            <w:pPr>
              <w:rPr>
                <w:b/>
                <w:bCs/>
              </w:rPr>
            </w:pPr>
            <w:r>
              <w:rPr>
                <w:b/>
              </w:rPr>
              <w:t>1933,20</w:t>
            </w:r>
            <w:r w:rsidR="00C729D1">
              <w:rPr>
                <w:b/>
              </w:rPr>
              <w:t xml:space="preserve"> рубля (</w:t>
            </w:r>
            <w:r>
              <w:rPr>
                <w:b/>
              </w:rPr>
              <w:t>одна тысяча девятьсот тридцать три рубля 20 копеек)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1D5378" w:rsidP="001D5378">
            <w:pPr>
              <w:rPr>
                <w:b/>
                <w:bCs/>
              </w:rPr>
            </w:pPr>
            <w:r>
              <w:rPr>
                <w:b/>
              </w:rPr>
              <w:t>32220</w:t>
            </w:r>
            <w:r w:rsidR="00C729D1">
              <w:rPr>
                <w:b/>
              </w:rPr>
              <w:t xml:space="preserve"> рубл</w:t>
            </w:r>
            <w:r>
              <w:rPr>
                <w:b/>
              </w:rPr>
              <w:t>ей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тридцать две тысячи двести двадцать рублей</w:t>
            </w:r>
            <w:r w:rsidR="00C729D1">
              <w:rPr>
                <w:b/>
              </w:rPr>
              <w:t>)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C729D1">
        <w:rPr>
          <w:b/>
        </w:rPr>
        <w:t>6 марта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C729D1">
        <w:t>07.03.2019 в 09 часов 30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lastRenderedPageBreak/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2D19BB">
        <w:t>40101810250048010001</w:t>
      </w:r>
      <w:r w:rsidR="002D19BB" w:rsidRPr="00ED239C">
        <w:t>,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</w:t>
      </w:r>
      <w:r w:rsidRPr="00F13A4B">
        <w:lastRenderedPageBreak/>
        <w:t xml:space="preserve">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325C0">
        <w:rPr>
          <w:b/>
        </w:rPr>
        <w:t>11 марта 2019 года в 10 часов 30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50812">
        <w:t>40101810250048010001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627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 w:rsidR="00722F95">
        <w:rPr>
          <w:sz w:val="28"/>
          <w:szCs w:val="28"/>
        </w:rPr>
        <w:t xml:space="preserve"> 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указанных в кадастровом паспорте земельного участка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часток).</w:t>
      </w:r>
    </w:p>
    <w:p w:rsidR="0082442F" w:rsidRDefault="0082442F" w:rsidP="00627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Цена выкупа земельного участка составляет: ________________ рублей (______________________________________________________________ рубля 00 копеек).</w:t>
      </w:r>
    </w:p>
    <w:p w:rsidR="00294BB8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</w:p>
    <w:p w:rsidR="001B6960" w:rsidRDefault="0082442F" w:rsidP="001B696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1B6960" w:rsidRPr="001B6960">
        <w:rPr>
          <w:sz w:val="28"/>
          <w:szCs w:val="28"/>
        </w:rPr>
        <w:t>40101810250048010001,</w:t>
      </w:r>
      <w:r>
        <w:rPr>
          <w:sz w:val="28"/>
          <w:szCs w:val="28"/>
        </w:rPr>
        <w:t xml:space="preserve"> БИК 042520001, ИНН 3830090655, КПП 383001001, ОКТМО 25618404, Отделение </w:t>
      </w:r>
      <w:r w:rsidR="001B6960">
        <w:rPr>
          <w:sz w:val="28"/>
          <w:szCs w:val="28"/>
        </w:rPr>
        <w:t>Иркутск гор. Иркутск</w:t>
      </w:r>
      <w:r>
        <w:rPr>
          <w:sz w:val="28"/>
          <w:szCs w:val="28"/>
        </w:rPr>
        <w:t>.</w:t>
      </w:r>
    </w:p>
    <w:p w:rsidR="00722F95" w:rsidRDefault="001B6960" w:rsidP="00627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Земельный участок имеет ограничение</w:t>
      </w:r>
      <w:r w:rsidR="00F56127">
        <w:rPr>
          <w:sz w:val="28"/>
          <w:szCs w:val="28"/>
        </w:rPr>
        <w:t xml:space="preserve">: </w:t>
      </w:r>
      <w:r w:rsidR="00722F95">
        <w:rPr>
          <w:color w:val="000000"/>
          <w:sz w:val="28"/>
          <w:szCs w:val="28"/>
        </w:rPr>
        <w:t>н</w:t>
      </w:r>
      <w:r w:rsidR="00722F95" w:rsidRPr="00722F95">
        <w:rPr>
          <w:color w:val="000000"/>
          <w:sz w:val="28"/>
          <w:szCs w:val="28"/>
        </w:rPr>
        <w:t>а земельном участке расположен выявленный объект культурного наследия.</w:t>
      </w:r>
      <w:r w:rsidR="00722F95" w:rsidRPr="00722F95">
        <w:rPr>
          <w:rFonts w:ascii="Helvetica" w:hAnsi="Helvetica" w:cs="Helvetica"/>
          <w:color w:val="1D4A66"/>
          <w:sz w:val="28"/>
          <w:szCs w:val="28"/>
        </w:rPr>
        <w:t xml:space="preserve"> </w:t>
      </w:r>
      <w:proofErr w:type="gramStart"/>
      <w:r w:rsidR="00722F95" w:rsidRPr="00722F95">
        <w:rPr>
          <w:sz w:val="28"/>
          <w:szCs w:val="28"/>
        </w:rPr>
        <w:t>На основании охранного обязательства собственника культурного наследия № 112-спр от 01.11.2016 г. собственник выявленного объекта культурного наследия обязан: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состоянии, в случае обнаружения при проведении работ на земельном участке в границах территории объекта культурного наследия, либо на земельном участке, в границах которого располагается объект</w:t>
      </w:r>
      <w:proofErr w:type="gramEnd"/>
      <w:r w:rsidR="00722F95" w:rsidRPr="00722F95">
        <w:rPr>
          <w:sz w:val="28"/>
          <w:szCs w:val="28"/>
        </w:rPr>
        <w:t xml:space="preserve"> культурного наследия, лица, указанные в п.11 ст.47.6 закона 73-ФЗ осуществляют действия, предусмотренные подпунктом 2    пункта 3 ст.47.2 Федерального закона от 25.06.2002 г. 73-ФЗ «Об объектах культурного наследия (памятниках истории и культуры) народов Российской Федерации»</w:t>
      </w:r>
    </w:p>
    <w:p w:rsidR="0082442F" w:rsidRDefault="00627A01" w:rsidP="00627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42F">
        <w:rPr>
          <w:sz w:val="28"/>
          <w:szCs w:val="28"/>
        </w:rPr>
        <w:t>. Продавец гарантирует, что отчуждаемый земельный участок ранее никому не продан, не обещан быть проданным, не отчужден иным способом, не 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</w:t>
      </w:r>
      <w:r w:rsidR="00294BB8">
        <w:rPr>
          <w:sz w:val="28"/>
          <w:szCs w:val="28"/>
        </w:rPr>
        <w:t>,</w:t>
      </w:r>
      <w:r w:rsidR="0082442F">
        <w:rPr>
          <w:sz w:val="28"/>
          <w:szCs w:val="28"/>
        </w:rPr>
        <w:t xml:space="preserve"> под запретом, либо арестом.</w:t>
      </w:r>
    </w:p>
    <w:p w:rsidR="0082442F" w:rsidRDefault="00627A01" w:rsidP="00627A01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442F">
        <w:rPr>
          <w:sz w:val="28"/>
          <w:szCs w:val="28"/>
        </w:rPr>
        <w:t>. Лиц, имеющих право пользования данным земельным участком после его приобретения Покупателем, нет.</w:t>
      </w:r>
    </w:p>
    <w:p w:rsidR="0082442F" w:rsidRDefault="00627A01" w:rsidP="00627A01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BB8">
        <w:rPr>
          <w:sz w:val="28"/>
          <w:szCs w:val="28"/>
        </w:rPr>
        <w:t>. С содержанием статей</w:t>
      </w:r>
      <w:r w:rsidR="0082442F">
        <w:rPr>
          <w:sz w:val="28"/>
          <w:szCs w:val="28"/>
        </w:rPr>
        <w:t xml:space="preserve"> 131, 167, 209, 223, 549-557 Гражданского кодекса РФ, стат</w:t>
      </w:r>
      <w:r w:rsidR="00294BB8">
        <w:rPr>
          <w:sz w:val="28"/>
          <w:szCs w:val="28"/>
        </w:rPr>
        <w:t>ей</w:t>
      </w:r>
      <w:r w:rsidR="0082442F">
        <w:rPr>
          <w:sz w:val="28"/>
          <w:szCs w:val="28"/>
        </w:rPr>
        <w:t xml:space="preserve"> 37, 40, 42, 43 Земельного кодекса РФ стороны ознакомлены.</w:t>
      </w:r>
    </w:p>
    <w:p w:rsidR="0082442F" w:rsidRDefault="00627A01" w:rsidP="00627A01">
      <w:pPr>
        <w:pStyle w:val="ae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442F">
        <w:rPr>
          <w:sz w:val="28"/>
          <w:szCs w:val="28"/>
        </w:rPr>
        <w:t>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11151A" w:rsidP="00111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A01">
        <w:rPr>
          <w:sz w:val="28"/>
          <w:szCs w:val="28"/>
        </w:rPr>
        <w:t>8</w:t>
      </w:r>
      <w:r w:rsidR="0082442F">
        <w:rPr>
          <w:sz w:val="28"/>
          <w:szCs w:val="28"/>
        </w:rPr>
        <w:t>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11151A" w:rsidP="00111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A01">
        <w:rPr>
          <w:sz w:val="28"/>
          <w:szCs w:val="28"/>
        </w:rPr>
        <w:t>9</w:t>
      </w:r>
      <w:r w:rsidR="0082442F">
        <w:rPr>
          <w:sz w:val="28"/>
          <w:szCs w:val="28"/>
        </w:rPr>
        <w:t>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294BB8" w:rsidRDefault="0011151A" w:rsidP="00111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A01">
        <w:rPr>
          <w:sz w:val="28"/>
          <w:szCs w:val="28"/>
        </w:rPr>
        <w:t>10</w:t>
      </w:r>
      <w:r w:rsidR="0082442F">
        <w:rPr>
          <w:sz w:val="28"/>
          <w:szCs w:val="28"/>
        </w:rPr>
        <w:t>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</w:t>
      </w:r>
    </w:p>
    <w:p w:rsidR="0082442F" w:rsidRDefault="0011151A" w:rsidP="00111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442F">
        <w:rPr>
          <w:sz w:val="28"/>
          <w:szCs w:val="28"/>
        </w:rPr>
        <w:t>1</w:t>
      </w:r>
      <w:r w:rsidR="00627A01">
        <w:rPr>
          <w:sz w:val="28"/>
          <w:szCs w:val="28"/>
        </w:rPr>
        <w:t>1</w:t>
      </w:r>
      <w:r w:rsidR="0082442F">
        <w:rPr>
          <w:sz w:val="28"/>
          <w:szCs w:val="28"/>
        </w:rPr>
        <w:t>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11151A" w:rsidP="00111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2442F">
        <w:rPr>
          <w:sz w:val="28"/>
          <w:szCs w:val="28"/>
        </w:rPr>
        <w:t>1</w:t>
      </w:r>
      <w:r w:rsidR="00627A01">
        <w:rPr>
          <w:sz w:val="28"/>
          <w:szCs w:val="28"/>
        </w:rPr>
        <w:t>2</w:t>
      </w:r>
      <w:r w:rsidR="0082442F">
        <w:rPr>
          <w:sz w:val="28"/>
          <w:szCs w:val="28"/>
        </w:rPr>
        <w:t>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51E1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60EB-2676-4234-A19F-8D2CFFA9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67</cp:revision>
  <cp:lastPrinted>2018-11-15T05:22:00Z</cp:lastPrinted>
  <dcterms:created xsi:type="dcterms:W3CDTF">2018-05-21T01:51:00Z</dcterms:created>
  <dcterms:modified xsi:type="dcterms:W3CDTF">2019-02-08T02:40:00Z</dcterms:modified>
</cp:coreProperties>
</file>